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1B" w:rsidRPr="0099081B" w:rsidRDefault="0099081B" w:rsidP="0099081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>Załącznik nr 3 do Uchwały Nr XV/143/2016 Rady Miejskiej w Kuźni Raciborskiej</w:t>
      </w:r>
    </w:p>
    <w:p w:rsidR="0099081B" w:rsidRPr="0099081B" w:rsidRDefault="0099081B" w:rsidP="0099081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>z dnia 28 stycznia 2016 roku</w:t>
      </w:r>
    </w:p>
    <w:p w:rsidR="0099081B" w:rsidRPr="0099081B" w:rsidRDefault="0099081B" w:rsidP="0099081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81B" w:rsidRPr="0099081B" w:rsidRDefault="0099081B" w:rsidP="0099081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b/>
          <w:sz w:val="20"/>
          <w:szCs w:val="20"/>
          <w:lang w:eastAsia="pl-PL"/>
        </w:rPr>
        <w:t>Objaśnienia wartości przyjętych w Wieloletniej Prognozie Finansowej na lata 2016-2022</w:t>
      </w:r>
    </w:p>
    <w:p w:rsidR="0099081B" w:rsidRPr="0099081B" w:rsidRDefault="0099081B" w:rsidP="0099081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81B" w:rsidRPr="0099081B" w:rsidRDefault="0099081B" w:rsidP="0099081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81B" w:rsidRPr="0099081B" w:rsidRDefault="0099081B" w:rsidP="0099081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b/>
          <w:sz w:val="20"/>
          <w:szCs w:val="20"/>
          <w:lang w:eastAsia="pl-PL"/>
        </w:rPr>
        <w:t>Uwagi ogólne:</w:t>
      </w:r>
    </w:p>
    <w:p w:rsidR="0099081B" w:rsidRPr="0099081B" w:rsidRDefault="0099081B" w:rsidP="0099081B">
      <w:pPr>
        <w:tabs>
          <w:tab w:val="left" w:pos="3717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>W Wieloletniej Prognozie Finansowej w roku 2015 przyjęto wartości według planu na dzień 30.09.2015</w:t>
      </w:r>
      <w:bookmarkStart w:id="0" w:name="_GoBack"/>
      <w:bookmarkEnd w:id="0"/>
      <w:r w:rsidRPr="0099081B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99081B" w:rsidRPr="0099081B" w:rsidRDefault="0099081B" w:rsidP="0099081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081B" w:rsidRPr="0099081B" w:rsidRDefault="0099081B" w:rsidP="0099081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b/>
          <w:sz w:val="20"/>
          <w:szCs w:val="20"/>
          <w:lang w:eastAsia="pl-PL"/>
        </w:rPr>
        <w:t>Dochody: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>W roku 2016 zaplanowano dochody bieżące w wysokości 97% prognozowanych wpływów w zakresie podatku: od nieruchomości, od środków transportowych, rolnego i leśnego. Wielkość udziałów w podatku dochodowym od osób fizycznych ustalono w wysokości 97%</w:t>
      </w:r>
      <w:r w:rsidRPr="0099081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99081B">
        <w:rPr>
          <w:rFonts w:ascii="Arial" w:eastAsia="Times New Roman" w:hAnsi="Arial" w:cs="Arial"/>
          <w:sz w:val="20"/>
          <w:szCs w:val="20"/>
          <w:lang w:eastAsia="pl-PL"/>
        </w:rPr>
        <w:t>prognozy Ministerstwa Finansów dla gminy Kuźnia Raciborska. Wysokości subwencji ogólnej zaplanowano w wysokości prognozowanej przez Ministerstwo Finansów dla naszej gminy. Kwoty dotacji celowych na zadania rządowe realizowane przez gminę, jak również dotacje na zadania własne gminy ujęto w wysokościach zgodnych ze wskaźnikami Śląskiego Urzędu Wojewódzkiego i Krajowego Biura Wyborczego.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 xml:space="preserve">Dochody ze sprzedaży majątku w roku 2016 zaplanowano w oparciu o dane pozyskane z wydziału merytorycznego – planuje się m.in. sprzedaż mieszkań, sprzedaż działek pod budownictwo indywidualne, sprzedaż działek pod działalność handlową oraz sprzedaż innych nieruchomości gminnych. Zakłada się, że w latach 2017-2022 dochody bieżące, dochody majątkowe jak również dochody ze sprzedaży majątku będą wzrastać o 1,7 %. 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b/>
          <w:sz w:val="20"/>
          <w:szCs w:val="20"/>
          <w:lang w:eastAsia="pl-PL"/>
        </w:rPr>
        <w:t>Wydatki: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 xml:space="preserve">Prognozowane kwoty wydatków bieżących w latach 2017-2022 oparto o założenie, że corocznie będą wzrastać nie więcej niż o 1,7 %. </w:t>
      </w:r>
      <w:r w:rsidRPr="0099081B">
        <w:rPr>
          <w:rFonts w:ascii="Arial" w:eastAsia="Times New Roman" w:hAnsi="Arial" w:cs="Times New Roman"/>
          <w:sz w:val="20"/>
          <w:szCs w:val="20"/>
          <w:lang w:eastAsia="pl-PL"/>
        </w:rPr>
        <w:t>W wydatkach bieżących uwzględniono najważniejsze potrzeby, ograniczając je do niezbędnego minimum. Wśród wydatków bieżących największą pozycję stanowią wydatki na wynagrodzenia i składki od nich naliczane</w:t>
      </w:r>
      <w:r w:rsidRPr="0099081B">
        <w:rPr>
          <w:rFonts w:ascii="Arial" w:eastAsia="Times New Roman" w:hAnsi="Arial" w:cs="Arial"/>
          <w:sz w:val="20"/>
          <w:szCs w:val="20"/>
          <w:lang w:eastAsia="pl-PL"/>
        </w:rPr>
        <w:t xml:space="preserve">, które w każdym roku wzrastać będą o 1,7%. Pozycja „Wydatki związane z funkcjonowaniem organów j.s.t.” obejmuje wydatki bieżące zaplanowane w rozdziale 75022 Rady gmin (miast i miast na prawach powiatu) oraz w rozdziale 75023 Urzędy gmin (miast i miast na prawach powiatu). W latach 2017-2022 zaplanowano ich wzrost corocznie o 1,7 %. Wydatki na obsługę długu zaplanowano na podstawie harmonogramów spłat zaciągniętych kredytów i pożyczek. W latach 2017-2022 odsetki od kredytów wyliczono w wysokości 4,3 % od zadłużenia z roku poprzedniego, zaś odsetki od pożyczek wyliczono w wysokości 4 % od zadłużenia z roku poprzedniego. Na rok 2016 przyjęto odsetki od pożyczek i kredytów wg wielkości podanych przez instytucje kredytujące (bank i </w:t>
      </w:r>
      <w:proofErr w:type="spellStart"/>
      <w:r w:rsidRPr="0099081B">
        <w:rPr>
          <w:rFonts w:ascii="Arial" w:eastAsia="Times New Roman" w:hAnsi="Arial" w:cs="Arial"/>
          <w:sz w:val="20"/>
          <w:szCs w:val="20"/>
          <w:lang w:eastAsia="pl-PL"/>
        </w:rPr>
        <w:t>WFOŚiGW</w:t>
      </w:r>
      <w:proofErr w:type="spellEnd"/>
      <w:r w:rsidRPr="0099081B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 xml:space="preserve">Wydatki z tytułu udzielonych poręczeń planuje się w ramach udzielonego poręczenia Gminnemu Przedsiębiorstwu Wodociągów i Kanalizacji, któremu gmina poręczyła spłatę pożyczki udzielonej przez </w:t>
      </w:r>
      <w:proofErr w:type="spellStart"/>
      <w:r w:rsidRPr="0099081B">
        <w:rPr>
          <w:rFonts w:ascii="Arial" w:eastAsia="Times New Roman" w:hAnsi="Arial" w:cs="Arial"/>
          <w:sz w:val="20"/>
          <w:szCs w:val="20"/>
          <w:lang w:eastAsia="pl-PL"/>
        </w:rPr>
        <w:t>WFOŚiGW</w:t>
      </w:r>
      <w:proofErr w:type="spellEnd"/>
      <w:r w:rsidRPr="0099081B">
        <w:rPr>
          <w:rFonts w:ascii="Arial" w:eastAsia="Times New Roman" w:hAnsi="Arial" w:cs="Arial"/>
          <w:sz w:val="20"/>
          <w:szCs w:val="20"/>
          <w:lang w:eastAsia="pl-PL"/>
        </w:rPr>
        <w:t xml:space="preserve"> w Katowicach. Udzielone poręczenie obowiązuje do dnia 31.12.2020 roku, a ewentualna spłata poręczenia w całości zabezpieczona jest w wydatkach w latach 2016-2020.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ramach przedsięwzięć bieżących wyszczególnionych w załączniku do uchwały w sprawie Wieloletniej Prognozy Finansowej wykazano kwoty wynikające z zawartych już umów.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>Wydatki majątkowe zaplanowano na przedsięwzięcia przewidziane w załączniku nr 2 do uchwały w sprawie Wieloletniej Prognozy Finansowej. W pozostałym zakresie przewiduje się realizację inwestycji rocznych.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b/>
          <w:sz w:val="20"/>
          <w:szCs w:val="20"/>
          <w:lang w:eastAsia="pl-PL"/>
        </w:rPr>
        <w:t>Przychody: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>Nie planuje się zaciągania nowych przychodów z tytułu kredytów i pożyczek.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b/>
          <w:sz w:val="20"/>
          <w:szCs w:val="20"/>
          <w:lang w:eastAsia="pl-PL"/>
        </w:rPr>
        <w:t>Rozchody: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 xml:space="preserve">Spłatę długu zaplanowano na podstawie harmonogramu spłat zaciągniętych kredytów i pożyczek. 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b/>
          <w:sz w:val="20"/>
          <w:szCs w:val="20"/>
          <w:lang w:eastAsia="pl-PL"/>
        </w:rPr>
        <w:t>Wynik budżetu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>Pozycja wynik budżetu jest różnicą między pozycjami I „Dochody”, a pozycją II „Wydatki” .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b/>
          <w:sz w:val="20"/>
          <w:szCs w:val="20"/>
          <w:lang w:eastAsia="pl-PL"/>
        </w:rPr>
        <w:t>Finansowanie deficytu i przeznaczenie nadwyżki: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>Źródłem pokrycia deficytu w 2016 roku są wolne środki, natomiast nadwyżkę w latach 2017-2022 planuje się przeznaczyć na spłatę wcześniej zaciągniętych zobowiązań.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b/>
          <w:sz w:val="20"/>
          <w:szCs w:val="20"/>
          <w:lang w:eastAsia="pl-PL"/>
        </w:rPr>
        <w:t>Kwota długu i sposób jego sfinansowania: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>Kwota wykazana jako dług na koniec każdego roku jest wynikiem działania: dług z poprzedniego roku + zaciągany dług – spłata długu.</w:t>
      </w:r>
    </w:p>
    <w:p w:rsidR="0099081B" w:rsidRPr="0099081B" w:rsidRDefault="0099081B" w:rsidP="009908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81B">
        <w:rPr>
          <w:rFonts w:ascii="Arial" w:eastAsia="Times New Roman" w:hAnsi="Arial" w:cs="Arial"/>
          <w:sz w:val="20"/>
          <w:szCs w:val="20"/>
          <w:lang w:eastAsia="pl-PL"/>
        </w:rPr>
        <w:t>Sposób finansowania długu – przyjmuje się, że spłata długu finansowana jest w pierwszej kolejności z nadwyżki budżetowej, w następnej kolejności dług finansuje się nowo zaciąganym długiem.</w:t>
      </w:r>
    </w:p>
    <w:p w:rsidR="00FB0BE0" w:rsidRDefault="00FB0BE0"/>
    <w:sectPr w:rsidR="00FB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89"/>
    <w:rsid w:val="00840720"/>
    <w:rsid w:val="0099081B"/>
    <w:rsid w:val="00D54E89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74397-5D52-461C-9D32-D55A13AD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2</cp:revision>
  <dcterms:created xsi:type="dcterms:W3CDTF">2016-02-02T08:55:00Z</dcterms:created>
  <dcterms:modified xsi:type="dcterms:W3CDTF">2016-02-02T08:56:00Z</dcterms:modified>
</cp:coreProperties>
</file>