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5C" w:rsidRPr="00ED495C" w:rsidRDefault="00ED495C" w:rsidP="00ED49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Załącznik nr 3 do Uchwały Nr XIV/135/2015</w:t>
      </w:r>
    </w:p>
    <w:p w:rsidR="00ED495C" w:rsidRPr="00ED495C" w:rsidRDefault="00ED495C" w:rsidP="00ED49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Rady Miejskiej w Kuźni Raciborskiej</w:t>
      </w:r>
    </w:p>
    <w:p w:rsidR="00ED495C" w:rsidRPr="00ED495C" w:rsidRDefault="00ED495C" w:rsidP="00ED49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z dnia 22.12.2015 r.</w:t>
      </w:r>
    </w:p>
    <w:p w:rsidR="00ED495C" w:rsidRPr="00ED495C" w:rsidRDefault="00ED495C" w:rsidP="00ED49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Objaśnienia wartości przyjętych w Wieloletniej Prognozie Finansowej na lata 2015-2022</w:t>
      </w:r>
    </w:p>
    <w:p w:rsidR="00ED495C" w:rsidRPr="00ED495C" w:rsidRDefault="00ED495C" w:rsidP="00ED495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Uwagi ogólne:</w:t>
      </w:r>
    </w:p>
    <w:p w:rsidR="00ED495C" w:rsidRPr="00ED495C" w:rsidRDefault="00ED495C" w:rsidP="00ED495C">
      <w:pPr>
        <w:tabs>
          <w:tab w:val="left" w:pos="371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W Wieloletniej Prognozie Finansowej w roku 2014 przyjęto wartości według planu na dzień 30.09.2014 r.</w:t>
      </w:r>
    </w:p>
    <w:p w:rsidR="00ED495C" w:rsidRPr="00ED495C" w:rsidRDefault="00ED495C" w:rsidP="00ED495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Dochody: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W roku 2015 zaplanowano dochody bieżące w wysokości 97% prognozowanych wpływów w zakresie podatku: od nieruchomości, od środków transportowych, rolnego i leśnego. Wielkość udziałów w podatku dochodowym od osób fizycznych ustalono w wysokości 97% prognozy Ministerstwa Finansów dla gminy Kuźnia Raciborska. Wysokości subwencji ogólnej zaplanowano w wysokości prognozowanej przez Ministerstwo Finansów dla naszej gminy. Kwoty dotacji celowych na zadania rządowe realizowane przez gminę, jak również dotacje na zadania własne gminy ujęto w wysokościach zgodnych ze wskaźnikami Śląskiego Urzędu Wojewódzkiego i Krajowego Biura Wyborczego.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Dochody ze sprzedaży majątku w roku 2015 zaplanowano w oparciu o dane pozyskane z wydziału merytorycznego – planuje się m.in. sprzedaż mieszkań, sprzedaż działek pod budownictwo indywidualne, sprzedaż działek pod działalność handlową oraz sprzedaż innych nieruchomości gminnych. Zakłada się, że w latach 2016-2022 dochody bieżące, dochody majątkowe jak również dochody ze sprzedaży majątku będą wzrastać o 1,2 %. 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Wydatki: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Prognozowane kwoty wydatków bieżących w latach 2017-2022 oparto o założenie, że corocznie będą wzrastać nie więcej niż o 1,2 %, natomiast wydatki bieżące w roku 2016 utrzymano na poziomie roku 2015. </w:t>
      </w:r>
      <w:r w:rsidRPr="00ED495C">
        <w:rPr>
          <w:rFonts w:ascii="Arial" w:eastAsia="Times New Roman" w:hAnsi="Arial" w:cs="Times New Roman"/>
          <w:sz w:val="20"/>
          <w:szCs w:val="20"/>
          <w:lang w:eastAsia="pl-PL"/>
        </w:rPr>
        <w:t>W wydatkach bieżących uwzględniono najważniejsze potrzeby, ograniczając je do niezbędnego minimum. Wśród wydatków bieżących największą pozycję stanowią wydatki na wynagrodzenia i składki od nich naliczane</w:t>
      </w: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, które w każdym roku wzrastać będą o 1,2%. Pozycja „Wydatki związane z funkcjonowaniem organów j.s.t.” obejmuje wydatki bieżące zaplanowane w rozdziale 75022 Rady gmin (miast i miast na prawach powiatu) oraz w rozdziale 75023 Urzędy gmin (miast i miast na prawach powiatu). W latach 2016-2022 zaplanowano ich wzrost corocznie o 1,2 %. Wydatki na obsługę długu zaplanowano na podstawie harmonogramów spłat zaciągniętych kredytów i pożyczek. W latach 2016-2022 odsetki od kredytów wyliczono w wysokości 4,3 % od zadłużenia z roku poprzedniego, zaś odsetki od pożyczek wyliczono w </w:t>
      </w:r>
      <w:r w:rsidRPr="00ED495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wysokości 4 % od zadłużenia z roku poprzedniego. Na rok 2015 przyjęto odsetki od pożyczek i kredytów wg wielkości podanych przez instytucje kredytujące (bank i </w:t>
      </w:r>
      <w:proofErr w:type="spellStart"/>
      <w:r w:rsidRPr="00ED495C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Pr="00ED495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Wydatki z tytułu udzielonych poręczeń planuje się w ramach udzielonego poręczenia Gminnemu Przedsiębiorstwu Wodociągów i Kanalizacji, któremu gmina poręczyła spłatę pożyczki udzielonej przez </w:t>
      </w:r>
      <w:proofErr w:type="spellStart"/>
      <w:r w:rsidRPr="00ED495C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 w Katowicach. Udzielone poręczenie obowiązuje do dnia 31.12.2020 roku, a ewentualna spłata poręczenia w całości zabezpieczona jest w wydatkach w latach 2015-2020.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W ramach przedsięwzięć bieżących wyszczególnionych w załączniku do uchwały w sprawie Wieloletniej Prognozy Finansowej wykazano kwoty wynikające z zawartych już umów.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Wydatki majątkowe zaplanowano na przedsięwzięcia przewidziane w załączniku nr 2 do uchwały w sprawie Wieloletniej Prognozy Finansowej. W pozostałym zakresie przewiduje się realizację inwestycji rocznych.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Przychody: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Poza pożyczką w wysokości 120.281,00 zł (III transza) planowaną w 2015 roku nie planuje się zaciągania nowych przychodów z tytułu kredytów i pożyczek. 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Rozchody: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 xml:space="preserve">Spłatę długu zaplanowano na podstawie harmonogramu spłat zaciągniętych i planowanych do zaciągnięcia kredytów i pożyczek. 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Wynik budżetu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Pozycja wynik budżetu jest różnicą między pozycjami I „Dochody”, a pozycją II „Wydatki” 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Finansowanie deficytu i przeznaczenie nadwyżki: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Źródłem pokrycia deficytu w 2015 roku są wolne środki, natomiast nadwyżkę w latach 2016-2022 planuje się przeznaczyć na spłatę wcześniej zaciągniętych zobowiązań.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b/>
          <w:sz w:val="20"/>
          <w:szCs w:val="20"/>
          <w:lang w:eastAsia="pl-PL"/>
        </w:rPr>
        <w:t>Kwota długu i sposób jego sfinansowania: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Kwota wykazana jako dług na koniec każdego roku jest wynikiem działania: dług z poprzedniego roku + zaciągany dług – spłata długu.</w:t>
      </w:r>
    </w:p>
    <w:p w:rsidR="00ED495C" w:rsidRPr="00ED495C" w:rsidRDefault="00ED495C" w:rsidP="00ED49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495C">
        <w:rPr>
          <w:rFonts w:ascii="Arial" w:eastAsia="Times New Roman" w:hAnsi="Arial" w:cs="Arial"/>
          <w:sz w:val="20"/>
          <w:szCs w:val="20"/>
          <w:lang w:eastAsia="pl-PL"/>
        </w:rPr>
        <w:t>Sposób finansowania długu – przyjmuje się, że spłata długu finansowana jest w pierwszej kolejności z nadwyżki budżetowej, w następnej kolejności dług finansuje się nowo zaciąganym długiem.</w:t>
      </w:r>
    </w:p>
    <w:p w:rsidR="00FB0BE0" w:rsidRDefault="00FB0BE0">
      <w:bookmarkStart w:id="0" w:name="_GoBack"/>
      <w:bookmarkEnd w:id="0"/>
    </w:p>
    <w:sectPr w:rsidR="00FB0BE0" w:rsidSect="00BA751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0"/>
    <w:rsid w:val="006A4A50"/>
    <w:rsid w:val="00840720"/>
    <w:rsid w:val="00ED495C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44F9-E42A-42A7-A472-6EE5A5F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dcterms:created xsi:type="dcterms:W3CDTF">2016-01-04T11:21:00Z</dcterms:created>
  <dcterms:modified xsi:type="dcterms:W3CDTF">2016-01-04T11:21:00Z</dcterms:modified>
</cp:coreProperties>
</file>